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667"/>
        <w:gridCol w:w="5954"/>
        <w:gridCol w:w="1984"/>
      </w:tblGrid>
      <w:tr w:rsidR="004F0C23" w:rsidRPr="001E74F3" w:rsidTr="004F0C23">
        <w:trPr>
          <w:trHeight w:val="416"/>
        </w:trPr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5954" w:type="dxa"/>
            <w:vAlign w:val="center"/>
          </w:tcPr>
          <w:p w:rsidR="004F0C23" w:rsidRPr="001E74F3" w:rsidRDefault="004F0C23" w:rsidP="004F0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主要危險水域地點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水域</w:t>
            </w:r>
          </w:p>
          <w:p w:rsidR="004F0C23" w:rsidRPr="001E74F3" w:rsidRDefault="004F0C23" w:rsidP="004F0C23">
            <w:pPr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主管機關</w:t>
            </w:r>
          </w:p>
        </w:tc>
      </w:tr>
      <w:tr w:rsidR="004F0C23" w:rsidRPr="001E74F3" w:rsidTr="004F0C23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太平區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頭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汴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坑溪一江橋附近水域</w:t>
            </w:r>
          </w:p>
        </w:tc>
        <w:tc>
          <w:tcPr>
            <w:tcW w:w="1984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本府水利局</w:t>
            </w:r>
          </w:p>
        </w:tc>
      </w:tr>
      <w:tr w:rsidR="004F0C23" w:rsidRPr="001E74F3" w:rsidTr="004F0C23"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頭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汴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坑溪蝙蝠洞附近水域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頭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汴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坑溪仙女瀑布附近水域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頭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汴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坑溪靠近護國清涼寺之中埔三、</w:t>
            </w:r>
            <w:r w:rsidRPr="001E74F3">
              <w:rPr>
                <w:rFonts w:ascii="標楷體" w:eastAsia="標楷體" w:hAnsi="標楷體"/>
                <w:sz w:val="28"/>
                <w:szCs w:val="28"/>
              </w:rPr>
              <w:t xml:space="preserve"> 四號橋下方水域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rPr>
          <w:trHeight w:val="516"/>
        </w:trPr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烏日區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烏溪、貓羅溪及大里溪等水域</w:t>
            </w:r>
          </w:p>
        </w:tc>
        <w:tc>
          <w:tcPr>
            <w:tcW w:w="1984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經濟部水利署</w:t>
            </w:r>
            <w:r w:rsidRPr="001E74F3">
              <w:rPr>
                <w:rFonts w:ascii="標楷體" w:eastAsia="標楷體" w:hAnsi="標楷體"/>
              </w:rPr>
              <w:br/>
            </w:r>
            <w:r w:rsidRPr="001E74F3">
              <w:rPr>
                <w:rFonts w:ascii="標楷體" w:eastAsia="標楷體" w:hAnsi="標楷體" w:hint="eastAsia"/>
              </w:rPr>
              <w:t>第三河川局</w:t>
            </w:r>
          </w:p>
        </w:tc>
      </w:tr>
      <w:tr w:rsidR="004F0C23" w:rsidRPr="001E74F3" w:rsidTr="004F0C23">
        <w:trPr>
          <w:trHeight w:val="566"/>
        </w:trPr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大肚區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大肚溪</w:t>
            </w:r>
            <w:r w:rsidRPr="001E74F3">
              <w:rPr>
                <w:rFonts w:ascii="標楷體" w:eastAsia="標楷體" w:hAnsi="標楷體"/>
                <w:sz w:val="28"/>
                <w:szCs w:val="28"/>
              </w:rPr>
              <w:t>(高速公路橋下)水域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rPr>
          <w:trHeight w:val="546"/>
        </w:trPr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東勢區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東豐大橋上、下游之大甲溪水域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rPr>
          <w:trHeight w:val="567"/>
        </w:trPr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東勢區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砂連溪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瀛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橋附近水域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本府水利局</w:t>
            </w:r>
          </w:p>
        </w:tc>
      </w:tr>
      <w:tr w:rsidR="004F0C23" w:rsidRPr="001E74F3" w:rsidTr="004F0C23">
        <w:trPr>
          <w:trHeight w:val="562"/>
        </w:trPr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東勢區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大安溪大峽谷水域〈苗栗縣卓蘭鎮交界處〉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經濟部水利署</w:t>
            </w:r>
            <w:r w:rsidRPr="001E74F3">
              <w:rPr>
                <w:rFonts w:ascii="標楷體" w:eastAsia="標楷體" w:hAnsi="標楷體"/>
              </w:rPr>
              <w:br/>
            </w:r>
            <w:r w:rsidRPr="001E74F3">
              <w:rPr>
                <w:rFonts w:ascii="標楷體" w:eastAsia="標楷體" w:hAnsi="標楷體" w:hint="eastAsia"/>
              </w:rPr>
              <w:t>第三河川局</w:t>
            </w:r>
          </w:p>
        </w:tc>
      </w:tr>
      <w:tr w:rsidR="004F0C23" w:rsidRPr="001E74F3" w:rsidTr="004F0C23"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新社區及</w:t>
            </w:r>
          </w:p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東勢區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龍安橋、天福橋等附近之大甲溪水域</w:t>
            </w:r>
          </w:p>
        </w:tc>
        <w:tc>
          <w:tcPr>
            <w:tcW w:w="1984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經濟部水利署</w:t>
            </w:r>
            <w:r w:rsidRPr="001E74F3">
              <w:rPr>
                <w:rFonts w:ascii="標楷體" w:eastAsia="標楷體" w:hAnsi="標楷體"/>
              </w:rPr>
              <w:br/>
            </w:r>
            <w:r w:rsidRPr="001E74F3">
              <w:rPr>
                <w:rFonts w:ascii="標楷體" w:eastAsia="標楷體" w:hAnsi="標楷體" w:hint="eastAsia"/>
              </w:rPr>
              <w:t>第三河川局</w:t>
            </w:r>
          </w:p>
        </w:tc>
      </w:tr>
      <w:tr w:rsidR="004F0C23" w:rsidRPr="001E74F3" w:rsidTr="004F0C23">
        <w:tc>
          <w:tcPr>
            <w:tcW w:w="709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67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和平區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谷關到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麗陽段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之大甲溪水域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c>
          <w:tcPr>
            <w:tcW w:w="709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谷關神駒谷溪底之大甲溪水域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c>
          <w:tcPr>
            <w:tcW w:w="709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天輪電廠下方之大甲溪水域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台灣電力公司</w:t>
            </w:r>
          </w:p>
        </w:tc>
      </w:tr>
      <w:tr w:rsidR="004F0C23" w:rsidRPr="001E74F3" w:rsidTr="004F0C23">
        <w:tc>
          <w:tcPr>
            <w:tcW w:w="709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67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石岡區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石岡水壩集水區水域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經濟部水利署</w:t>
            </w:r>
            <w:r w:rsidRPr="001E74F3">
              <w:rPr>
                <w:rFonts w:ascii="標楷體" w:eastAsia="標楷體" w:hAnsi="標楷體"/>
              </w:rPr>
              <w:br/>
            </w:r>
            <w:r w:rsidRPr="001E74F3">
              <w:rPr>
                <w:rFonts w:ascii="標楷體" w:eastAsia="標楷體" w:hAnsi="標楷體" w:hint="eastAsia"/>
              </w:rPr>
              <w:t>中區水資源局</w:t>
            </w:r>
          </w:p>
        </w:tc>
      </w:tr>
      <w:tr w:rsidR="004F0C23" w:rsidRPr="001E74F3" w:rsidTr="004F0C23">
        <w:tc>
          <w:tcPr>
            <w:tcW w:w="709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石岡水壩上、下游之大甲溪水域</w:t>
            </w:r>
          </w:p>
        </w:tc>
        <w:tc>
          <w:tcPr>
            <w:tcW w:w="1984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經濟部水利署</w:t>
            </w:r>
            <w:r w:rsidRPr="001E74F3">
              <w:rPr>
                <w:rFonts w:ascii="標楷體" w:eastAsia="標楷體" w:hAnsi="標楷體"/>
              </w:rPr>
              <w:br/>
            </w:r>
            <w:r w:rsidRPr="001E74F3">
              <w:rPr>
                <w:rFonts w:ascii="標楷體" w:eastAsia="標楷體" w:hAnsi="標楷體" w:hint="eastAsia"/>
              </w:rPr>
              <w:t>第三河川局</w:t>
            </w:r>
          </w:p>
        </w:tc>
      </w:tr>
      <w:tr w:rsidR="004F0C23" w:rsidRPr="001E74F3" w:rsidTr="004F0C23">
        <w:tc>
          <w:tcPr>
            <w:tcW w:w="709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67" w:type="dxa"/>
            <w:vMerge w:val="restart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豐原區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豐橋至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后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豐大橋下游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公尺"/>
              </w:smartTagPr>
              <w:r w:rsidRPr="001E74F3">
                <w:rPr>
                  <w:rFonts w:ascii="標楷體" w:eastAsia="標楷體" w:hAnsi="標楷體" w:hint="eastAsia"/>
                  <w:sz w:val="28"/>
                  <w:szCs w:val="28"/>
                </w:rPr>
                <w:t>500公尺</w:t>
              </w:r>
            </w:smartTag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處之大甲溪水域</w:t>
            </w:r>
          </w:p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朴子街</w:t>
            </w:r>
            <w:r w:rsidRPr="001E74F3">
              <w:rPr>
                <w:rFonts w:ascii="標楷體" w:eastAsia="標楷體" w:hAnsi="標楷體"/>
                <w:sz w:val="28"/>
                <w:szCs w:val="28"/>
              </w:rPr>
              <w:t>260巷大甲溪鐵橋下方之大甲溪水域</w:t>
            </w:r>
          </w:p>
        </w:tc>
        <w:tc>
          <w:tcPr>
            <w:tcW w:w="1984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F0C23" w:rsidRPr="001E74F3" w:rsidTr="004F0C23">
        <w:tc>
          <w:tcPr>
            <w:tcW w:w="709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軟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仔溪水域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自角潭路角潭橋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起至豐原大道止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74F3">
              <w:rPr>
                <w:rFonts w:ascii="標楷體" w:eastAsia="標楷體" w:hAnsi="標楷體" w:hint="eastAsia"/>
              </w:rPr>
              <w:t>本府水利局</w:t>
            </w:r>
          </w:p>
        </w:tc>
      </w:tr>
      <w:tr w:rsidR="004F0C23" w:rsidRPr="001E74F3" w:rsidTr="004F0C23">
        <w:tc>
          <w:tcPr>
            <w:tcW w:w="709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葫蘆墩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圳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水域自大甲溪取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水口起至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圓環北路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  <w:proofErr w:type="gramEnd"/>
          </w:p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八寶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圳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水域自大甲溪取</w:t>
            </w:r>
            <w:proofErr w:type="gramStart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水口起至</w:t>
            </w:r>
            <w:proofErr w:type="gramEnd"/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三豐路止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E74F3">
              <w:rPr>
                <w:rFonts w:ascii="標楷體" w:eastAsia="標楷體" w:hAnsi="標楷體" w:hint="eastAsia"/>
              </w:rPr>
              <w:t>臺</w:t>
            </w:r>
            <w:proofErr w:type="gramEnd"/>
            <w:r w:rsidRPr="001E74F3">
              <w:rPr>
                <w:rFonts w:ascii="標楷體" w:eastAsia="標楷體" w:hAnsi="標楷體" w:hint="eastAsia"/>
              </w:rPr>
              <w:t>中農田水利會</w:t>
            </w:r>
          </w:p>
        </w:tc>
      </w:tr>
      <w:tr w:rsidR="004F0C23" w:rsidRPr="001E74F3" w:rsidTr="004F0C23">
        <w:trPr>
          <w:trHeight w:val="591"/>
        </w:trPr>
        <w:tc>
          <w:tcPr>
            <w:tcW w:w="709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67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sz w:val="28"/>
                <w:szCs w:val="28"/>
              </w:rPr>
              <w:t>大安區</w:t>
            </w:r>
          </w:p>
        </w:tc>
        <w:tc>
          <w:tcPr>
            <w:tcW w:w="5954" w:type="dxa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74F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大安</w:t>
            </w:r>
            <w:r w:rsidRPr="001E74F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海水浴場</w:t>
            </w:r>
            <w:r w:rsidRPr="001E74F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除本府102年7月26日公告限制開放範圍以外之水域</w:t>
            </w:r>
          </w:p>
        </w:tc>
        <w:tc>
          <w:tcPr>
            <w:tcW w:w="1984" w:type="dxa"/>
            <w:vAlign w:val="center"/>
          </w:tcPr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E74F3">
              <w:rPr>
                <w:rFonts w:ascii="標楷體" w:eastAsia="標楷體" w:hAnsi="標楷體" w:hint="eastAsia"/>
                <w:color w:val="000000"/>
                <w:kern w:val="0"/>
              </w:rPr>
              <w:t>本</w:t>
            </w:r>
            <w:proofErr w:type="gramStart"/>
            <w:r w:rsidRPr="001E74F3">
              <w:rPr>
                <w:rFonts w:ascii="標楷體" w:eastAsia="標楷體" w:hAnsi="標楷體" w:hint="eastAsia"/>
                <w:color w:val="000000"/>
                <w:kern w:val="0"/>
              </w:rPr>
              <w:t>府觀旅</w:t>
            </w:r>
            <w:proofErr w:type="gramEnd"/>
            <w:r w:rsidRPr="001E74F3">
              <w:rPr>
                <w:rFonts w:ascii="標楷體" w:eastAsia="標楷體" w:hAnsi="標楷體" w:hint="eastAsia"/>
                <w:color w:val="000000"/>
                <w:kern w:val="0"/>
              </w:rPr>
              <w:t>局</w:t>
            </w:r>
          </w:p>
          <w:p w:rsidR="004F0C23" w:rsidRPr="001E74F3" w:rsidRDefault="004F0C23" w:rsidP="004F0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E74F3">
              <w:rPr>
                <w:rFonts w:ascii="標楷體" w:eastAsia="標楷體" w:hAnsi="標楷體" w:hint="eastAsia"/>
                <w:color w:val="000000"/>
                <w:kern w:val="0"/>
              </w:rPr>
              <w:t>(風景區管理所)</w:t>
            </w:r>
          </w:p>
        </w:tc>
      </w:tr>
    </w:tbl>
    <w:p w:rsidR="004F0C23" w:rsidRPr="004F0C23" w:rsidRDefault="00E90BE6" w:rsidP="004F0C23">
      <w:pPr>
        <w:rPr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台中</w:t>
      </w:r>
      <w:r w:rsidRPr="00E90BE6">
        <w:rPr>
          <w:rFonts w:ascii="標楷體" w:eastAsia="標楷體" w:hAnsi="標楷體" w:hint="eastAsia"/>
          <w:b/>
          <w:color w:val="FF0000"/>
          <w:sz w:val="28"/>
          <w:szCs w:val="28"/>
        </w:rPr>
        <w:t>市</w:t>
      </w:r>
      <w:r w:rsidR="00754A12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Pr="00E90BE6">
        <w:rPr>
          <w:rFonts w:ascii="標楷體" w:eastAsia="標楷體" w:hAnsi="標楷體" w:hint="eastAsia"/>
          <w:b/>
          <w:color w:val="FF0000"/>
          <w:sz w:val="28"/>
          <w:szCs w:val="28"/>
        </w:rPr>
        <w:t>處主要危險水域如下：</w:t>
      </w:r>
    </w:p>
    <w:p w:rsidR="00E90BE6" w:rsidRDefault="00E90BE6" w:rsidP="004F0C23">
      <w:pPr>
        <w:spacing w:line="300" w:lineRule="exact"/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</w:pPr>
      <w:r w:rsidRPr="00D00E16"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  <w:t>除</w:t>
      </w:r>
      <w:r w:rsidRPr="00D00E16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上述</w:t>
      </w:r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主要危險</w:t>
      </w:r>
      <w:r w:rsidRPr="00D00E16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水域</w:t>
      </w:r>
      <w:r w:rsidRPr="00D00E16"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  <w:t>範圍外，凡有豎立</w:t>
      </w:r>
      <w:r w:rsidRPr="00D00E16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危險</w:t>
      </w:r>
      <w:r w:rsidRPr="00D00E16"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  <w:t>警告牌的水域</w:t>
      </w:r>
      <w:r w:rsidRPr="00D00E16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，均</w:t>
      </w:r>
      <w:r w:rsidRPr="00D00E16"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  <w:t>不得從事</w:t>
      </w:r>
      <w:r w:rsidRPr="00D00E16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任何</w:t>
      </w:r>
      <w:r w:rsidRPr="00D00E16"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  <w:t>水域活動</w:t>
      </w:r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，以避免溺水意外發生</w:t>
      </w:r>
      <w:r w:rsidRPr="00D00E16"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  <w:t>。</w:t>
      </w:r>
    </w:p>
    <w:p w:rsidR="004F0C23" w:rsidRDefault="004F0C23" w:rsidP="004F0C23">
      <w:pPr>
        <w:spacing w:line="300" w:lineRule="exact"/>
        <w:ind w:leftChars="-118" w:left="-283"/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</w:pPr>
    </w:p>
    <w:p w:rsidR="004F0C23" w:rsidRDefault="00821463" w:rsidP="004F0C23">
      <w:pPr>
        <w:spacing w:line="300" w:lineRule="exact"/>
        <w:ind w:leftChars="-118" w:left="-283"/>
        <w:rPr>
          <w:rFonts w:ascii="標楷體" w:eastAsia="標楷體" w:hAnsi="標楷體" w:cs="Arial"/>
          <w:color w:val="FF0000"/>
          <w:spacing w:val="15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註</w:t>
      </w:r>
      <w:proofErr w:type="gramEnd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:</w:t>
      </w:r>
    </w:p>
    <w:p w:rsidR="00821463" w:rsidRPr="00821463" w:rsidRDefault="00821463" w:rsidP="004F0C23">
      <w:pPr>
        <w:spacing w:line="300" w:lineRule="exact"/>
      </w:pPr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原</w:t>
      </w:r>
      <w:proofErr w:type="gramStart"/>
      <w:r w:rsidR="004F0C23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臺</w:t>
      </w:r>
      <w:proofErr w:type="gramEnd"/>
      <w:r w:rsidR="004F0C23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中市政府觀光旅遊局</w:t>
      </w:r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100年11月18日</w:t>
      </w:r>
      <w:proofErr w:type="gramStart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中市觀管字</w:t>
      </w:r>
      <w:proofErr w:type="gramEnd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第10000111601號公告本市轄內</w:t>
      </w:r>
      <w:proofErr w:type="gramStart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中港區南側海域(近</w:t>
      </w:r>
      <w:proofErr w:type="gramStart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電臺中火力發電廠西側)禁止水域遊憩活動相關事項，</w:t>
      </w:r>
      <w:r w:rsidR="004F0C23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業以</w:t>
      </w:r>
      <w:proofErr w:type="gramStart"/>
      <w:r w:rsidR="004F0C23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臺</w:t>
      </w:r>
      <w:proofErr w:type="gramEnd"/>
      <w:r w:rsidR="004F0C23"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中市政府觀光旅遊局</w:t>
      </w:r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105年7月25日</w:t>
      </w:r>
      <w:proofErr w:type="gramStart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中市觀管字</w:t>
      </w:r>
      <w:proofErr w:type="gramEnd"/>
      <w:r>
        <w:rPr>
          <w:rFonts w:ascii="標楷體" w:eastAsia="標楷體" w:hAnsi="標楷體" w:cs="Arial" w:hint="eastAsia"/>
          <w:color w:val="FF0000"/>
          <w:spacing w:val="15"/>
          <w:kern w:val="0"/>
          <w:sz w:val="28"/>
          <w:szCs w:val="28"/>
        </w:rPr>
        <w:t>第10500108151號公告廢止。</w:t>
      </w:r>
    </w:p>
    <w:sectPr w:rsidR="00821463" w:rsidRPr="00821463" w:rsidSect="00E90BE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44A" w:rsidRDefault="002E444A" w:rsidP="007426B1">
      <w:r>
        <w:separator/>
      </w:r>
    </w:p>
  </w:endnote>
  <w:endnote w:type="continuationSeparator" w:id="0">
    <w:p w:rsidR="002E444A" w:rsidRDefault="002E444A" w:rsidP="0074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44A" w:rsidRDefault="002E444A" w:rsidP="007426B1">
      <w:r>
        <w:separator/>
      </w:r>
    </w:p>
  </w:footnote>
  <w:footnote w:type="continuationSeparator" w:id="0">
    <w:p w:rsidR="002E444A" w:rsidRDefault="002E444A" w:rsidP="0074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E6"/>
    <w:rsid w:val="002E444A"/>
    <w:rsid w:val="004F0C23"/>
    <w:rsid w:val="007426B1"/>
    <w:rsid w:val="00754A12"/>
    <w:rsid w:val="00821463"/>
    <w:rsid w:val="00A65E90"/>
    <w:rsid w:val="00E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7693226-7520-4E40-BE56-9AB2E2E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6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6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張毓真</cp:lastModifiedBy>
  <cp:revision>2</cp:revision>
  <dcterms:created xsi:type="dcterms:W3CDTF">2020-05-04T05:48:00Z</dcterms:created>
  <dcterms:modified xsi:type="dcterms:W3CDTF">2020-05-04T05:48:00Z</dcterms:modified>
</cp:coreProperties>
</file>